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22843" w14:textId="77777777" w:rsidR="007C62F1" w:rsidRDefault="007C62F1" w:rsidP="006E46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</w:rPr>
        <w:drawing>
          <wp:inline distT="0" distB="0" distL="0" distR="0" wp14:anchorId="6B222858" wp14:editId="6B222859">
            <wp:extent cx="1019175" cy="572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CI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686" cy="59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222844" w14:textId="77777777" w:rsidR="007C62F1" w:rsidRPr="00253154" w:rsidRDefault="007C62F1" w:rsidP="006E464B">
      <w:pPr>
        <w:jc w:val="center"/>
        <w:rPr>
          <w:rFonts w:asciiTheme="minorHAnsi" w:hAnsiTheme="minorHAnsi" w:cstheme="minorHAnsi"/>
          <w:b/>
          <w:sz w:val="6"/>
          <w:szCs w:val="6"/>
        </w:rPr>
      </w:pPr>
    </w:p>
    <w:p w14:paraId="6B222845" w14:textId="77777777" w:rsidR="007C62F1" w:rsidRDefault="006E464B" w:rsidP="006E464B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60563">
        <w:rPr>
          <w:rFonts w:asciiTheme="minorHAnsi" w:hAnsiTheme="minorHAnsi" w:cstheme="minorHAnsi"/>
          <w:b/>
          <w:sz w:val="28"/>
          <w:szCs w:val="28"/>
        </w:rPr>
        <w:t xml:space="preserve">US </w:t>
      </w:r>
      <w:r w:rsidR="007C62F1">
        <w:rPr>
          <w:rFonts w:asciiTheme="minorHAnsi" w:hAnsiTheme="minorHAnsi" w:cstheme="minorHAnsi"/>
          <w:b/>
          <w:sz w:val="28"/>
          <w:szCs w:val="28"/>
        </w:rPr>
        <w:t>North American Bird Conservation Initiative</w:t>
      </w:r>
    </w:p>
    <w:p w14:paraId="6B222846" w14:textId="77777777" w:rsidR="00270F0F" w:rsidRPr="00D76B5A" w:rsidRDefault="00270F0F" w:rsidP="005C7013">
      <w:pPr>
        <w:rPr>
          <w:color w:val="FF0000"/>
          <w:sz w:val="8"/>
          <w:szCs w:val="8"/>
        </w:rPr>
      </w:pPr>
    </w:p>
    <w:p w14:paraId="6B222847" w14:textId="00B8A0BF" w:rsidR="007C62F1" w:rsidRDefault="007C62F1" w:rsidP="00A126C5">
      <w:pPr>
        <w:jc w:val="center"/>
        <w:rPr>
          <w:rFonts w:asciiTheme="minorHAnsi" w:hAnsiTheme="minorHAnsi"/>
          <w:i/>
          <w:szCs w:val="24"/>
        </w:rPr>
      </w:pPr>
      <w:r w:rsidRPr="00253154">
        <w:rPr>
          <w:rFonts w:asciiTheme="minorHAnsi" w:hAnsiTheme="minorHAnsi"/>
          <w:b/>
          <w:i/>
          <w:szCs w:val="24"/>
        </w:rPr>
        <w:t>Mission</w:t>
      </w:r>
      <w:r w:rsidRPr="00253154">
        <w:rPr>
          <w:rFonts w:asciiTheme="minorHAnsi" w:hAnsiTheme="minorHAnsi"/>
          <w:i/>
          <w:szCs w:val="24"/>
        </w:rPr>
        <w:t xml:space="preserve">: The </w:t>
      </w:r>
      <w:hyperlink r:id="rId9" w:history="1">
        <w:r w:rsidRPr="004C375F">
          <w:rPr>
            <w:rStyle w:val="Hyperlink"/>
            <w:rFonts w:asciiTheme="minorHAnsi" w:hAnsiTheme="minorHAnsi"/>
            <w:i/>
            <w:szCs w:val="24"/>
          </w:rPr>
          <w:t>U.S. NABCI Committee</w:t>
        </w:r>
      </w:hyperlink>
      <w:r w:rsidRPr="00253154">
        <w:rPr>
          <w:rFonts w:asciiTheme="minorHAnsi" w:hAnsiTheme="minorHAnsi"/>
          <w:i/>
          <w:szCs w:val="24"/>
        </w:rPr>
        <w:t xml:space="preserve"> facilitates collaborative partnerships that advance biological, social, and scientific priorities for North American bird conservation.</w:t>
      </w:r>
    </w:p>
    <w:p w14:paraId="196E6D21" w14:textId="77777777" w:rsidR="00672184" w:rsidRPr="00672184" w:rsidRDefault="00672184" w:rsidP="00672184">
      <w:pPr>
        <w:jc w:val="center"/>
        <w:rPr>
          <w:rFonts w:asciiTheme="minorHAnsi" w:hAnsiTheme="minorHAnsi" w:cstheme="minorHAnsi"/>
          <w:i/>
          <w:szCs w:val="24"/>
        </w:rPr>
      </w:pPr>
      <w:r w:rsidRPr="00672184">
        <w:rPr>
          <w:rFonts w:asciiTheme="minorHAnsi" w:hAnsiTheme="minorHAnsi" w:cstheme="minorHAnsi"/>
          <w:b/>
          <w:i/>
          <w:szCs w:val="24"/>
        </w:rPr>
        <w:t>Vision:</w:t>
      </w:r>
      <w:r w:rsidRPr="00672184">
        <w:rPr>
          <w:rFonts w:asciiTheme="minorHAnsi" w:hAnsiTheme="minorHAnsi" w:cstheme="minorHAnsi"/>
          <w:i/>
          <w:szCs w:val="24"/>
        </w:rPr>
        <w:t xml:space="preserve"> Healthy and abundant populations of North American birds are valued by future generations and sustained by habitats that benefit birds and people.</w:t>
      </w:r>
    </w:p>
    <w:p w14:paraId="6B222848" w14:textId="3C2A080E" w:rsidR="007C62F1" w:rsidRPr="00672184" w:rsidRDefault="007C62F1" w:rsidP="00672184">
      <w:pPr>
        <w:jc w:val="center"/>
        <w:rPr>
          <w:rFonts w:asciiTheme="minorHAnsi" w:hAnsiTheme="minorHAnsi"/>
          <w:i/>
          <w:szCs w:val="24"/>
        </w:rPr>
      </w:pPr>
    </w:p>
    <w:p w14:paraId="6B222849" w14:textId="7F97882E" w:rsidR="007C62F1" w:rsidRPr="00253154" w:rsidRDefault="007C62F1" w:rsidP="002D3DC3">
      <w:pPr>
        <w:rPr>
          <w:rFonts w:asciiTheme="minorHAnsi" w:hAnsiTheme="minorHAnsi"/>
          <w:b/>
          <w:szCs w:val="24"/>
        </w:rPr>
      </w:pPr>
      <w:r w:rsidRPr="00253154">
        <w:rPr>
          <w:rFonts w:asciiTheme="minorHAnsi" w:hAnsiTheme="minorHAnsi"/>
          <w:b/>
          <w:szCs w:val="24"/>
        </w:rPr>
        <w:t>U.S. NABCI Goals 201</w:t>
      </w:r>
      <w:r w:rsidR="00672184">
        <w:rPr>
          <w:rFonts w:asciiTheme="minorHAnsi" w:hAnsiTheme="minorHAnsi"/>
          <w:b/>
          <w:szCs w:val="24"/>
        </w:rPr>
        <w:t>7-2021</w:t>
      </w:r>
    </w:p>
    <w:p w14:paraId="6B22284A" w14:textId="5BE2B58E" w:rsidR="007C62F1" w:rsidRPr="00AF63AA" w:rsidRDefault="007C62F1" w:rsidP="002D3DC3">
      <w:pPr>
        <w:contextualSpacing/>
        <w:rPr>
          <w:rFonts w:asciiTheme="minorHAnsi" w:hAnsiTheme="minorHAnsi" w:cstheme="minorHAnsi"/>
          <w:szCs w:val="24"/>
        </w:rPr>
      </w:pPr>
      <w:r w:rsidRPr="00AF63AA">
        <w:rPr>
          <w:rFonts w:asciiTheme="minorHAnsi" w:hAnsiTheme="minorHAnsi" w:cstheme="minorHAnsi"/>
          <w:b/>
          <w:szCs w:val="24"/>
        </w:rPr>
        <w:t xml:space="preserve">Goal 1: </w:t>
      </w:r>
      <w:r w:rsidR="00672184" w:rsidRPr="00AF63AA">
        <w:rPr>
          <w:rFonts w:asciiTheme="minorHAnsi" w:hAnsiTheme="minorHAnsi" w:cstheme="minorHAnsi"/>
          <w:szCs w:val="24"/>
        </w:rPr>
        <w:t>Maintain a well-coordinated bird conservation community to achieve strategic conservation.</w:t>
      </w:r>
    </w:p>
    <w:p w14:paraId="6B22284B" w14:textId="42008B60" w:rsidR="007C62F1" w:rsidRPr="00AF63AA" w:rsidRDefault="007C62F1" w:rsidP="002D3DC3">
      <w:pPr>
        <w:contextualSpacing/>
        <w:rPr>
          <w:rFonts w:asciiTheme="minorHAnsi" w:hAnsiTheme="minorHAnsi" w:cstheme="minorHAnsi"/>
          <w:color w:val="FF0000"/>
          <w:szCs w:val="24"/>
        </w:rPr>
      </w:pPr>
      <w:r w:rsidRPr="00AF63AA">
        <w:rPr>
          <w:rFonts w:asciiTheme="minorHAnsi" w:hAnsiTheme="minorHAnsi" w:cstheme="minorHAnsi"/>
          <w:b/>
          <w:szCs w:val="24"/>
        </w:rPr>
        <w:t xml:space="preserve">Goal 2: </w:t>
      </w:r>
      <w:r w:rsidR="00672184" w:rsidRPr="00AF63AA">
        <w:rPr>
          <w:rFonts w:asciiTheme="minorHAnsi" w:hAnsiTheme="minorHAnsi" w:cstheme="minorHAnsi"/>
          <w:szCs w:val="24"/>
        </w:rPr>
        <w:t>Facilitate science-based conservation efforts that support healthy bird populations</w:t>
      </w:r>
      <w:r w:rsidR="00672184" w:rsidRPr="00AF63AA">
        <w:rPr>
          <w:rFonts w:asciiTheme="minorHAnsi" w:hAnsiTheme="minorHAnsi" w:cstheme="minorHAnsi"/>
          <w:szCs w:val="24"/>
        </w:rPr>
        <w:t>.</w:t>
      </w:r>
    </w:p>
    <w:p w14:paraId="6B22284C" w14:textId="29EFB8CB" w:rsidR="007C62F1" w:rsidRPr="00AF63AA" w:rsidRDefault="007C62F1" w:rsidP="002D3DC3">
      <w:pPr>
        <w:contextualSpacing/>
        <w:rPr>
          <w:rFonts w:asciiTheme="minorHAnsi" w:hAnsiTheme="minorHAnsi" w:cstheme="minorHAnsi"/>
          <w:szCs w:val="24"/>
        </w:rPr>
      </w:pPr>
      <w:r w:rsidRPr="00AF63AA">
        <w:rPr>
          <w:rFonts w:asciiTheme="minorHAnsi" w:hAnsiTheme="minorHAnsi" w:cstheme="minorHAnsi"/>
          <w:b/>
          <w:szCs w:val="24"/>
        </w:rPr>
        <w:t>Goal 3:</w:t>
      </w:r>
      <w:r w:rsidRPr="00AF63AA">
        <w:rPr>
          <w:rFonts w:asciiTheme="minorHAnsi" w:hAnsiTheme="minorHAnsi" w:cstheme="minorHAnsi"/>
          <w:szCs w:val="24"/>
        </w:rPr>
        <w:t xml:space="preserve">  </w:t>
      </w:r>
      <w:r w:rsidR="00672184" w:rsidRPr="00AF63AA">
        <w:rPr>
          <w:rFonts w:asciiTheme="minorHAnsi" w:hAnsiTheme="minorHAnsi" w:cstheme="minorHAnsi"/>
          <w:szCs w:val="24"/>
        </w:rPr>
        <w:t>Inform and support effective policy to advance bird conservation</w:t>
      </w:r>
      <w:r w:rsidR="00672184" w:rsidRPr="00AF63AA">
        <w:rPr>
          <w:rFonts w:asciiTheme="minorHAnsi" w:hAnsiTheme="minorHAnsi" w:cstheme="minorHAnsi"/>
          <w:szCs w:val="24"/>
        </w:rPr>
        <w:t>.</w:t>
      </w:r>
    </w:p>
    <w:p w14:paraId="6B22284D" w14:textId="77777777" w:rsidR="007C62F1" w:rsidRPr="00253154" w:rsidRDefault="007C62F1" w:rsidP="00A126C5">
      <w:pPr>
        <w:rPr>
          <w:rFonts w:asciiTheme="minorHAnsi" w:hAnsiTheme="minorHAnsi"/>
          <w:color w:val="FF0000"/>
          <w:sz w:val="16"/>
          <w:szCs w:val="16"/>
        </w:rPr>
      </w:pPr>
    </w:p>
    <w:p w14:paraId="6B22284E" w14:textId="0C4046F4" w:rsidR="00A345C2" w:rsidRPr="00A6241D" w:rsidRDefault="007C62F1" w:rsidP="00927DA7">
      <w:pPr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A6241D">
        <w:rPr>
          <w:rFonts w:asciiTheme="minorHAnsi" w:hAnsiTheme="minorHAnsi" w:cstheme="minorHAnsi"/>
          <w:b/>
          <w:szCs w:val="24"/>
          <w:u w:val="single"/>
        </w:rPr>
        <w:t xml:space="preserve">Committee Meeting Highlights, </w:t>
      </w:r>
      <w:r w:rsidR="00672184" w:rsidRPr="00A6241D">
        <w:rPr>
          <w:rFonts w:asciiTheme="minorHAnsi" w:hAnsiTheme="minorHAnsi" w:cstheme="minorHAnsi"/>
          <w:b/>
          <w:szCs w:val="24"/>
          <w:u w:val="single"/>
        </w:rPr>
        <w:t>8-9 February 2017</w:t>
      </w:r>
    </w:p>
    <w:p w14:paraId="0F091E0B" w14:textId="63562FC1" w:rsidR="00672184" w:rsidRPr="00672184" w:rsidRDefault="007B70F3" w:rsidP="007B70F3">
      <w:pPr>
        <w:rPr>
          <w:rFonts w:asciiTheme="minorHAnsi" w:hAnsiTheme="minorHAnsi" w:cstheme="minorHAnsi"/>
          <w:sz w:val="22"/>
          <w:szCs w:val="22"/>
        </w:rPr>
      </w:pPr>
      <w:r w:rsidRPr="00AF1098">
        <w:rPr>
          <w:rFonts w:asciiTheme="minorHAnsi" w:hAnsiTheme="minorHAnsi" w:cstheme="minorHAnsi"/>
          <w:b/>
          <w:sz w:val="22"/>
          <w:szCs w:val="22"/>
          <w:u w:val="single"/>
        </w:rPr>
        <w:t>Emphasis on Policy</w:t>
      </w:r>
      <w:r w:rsidRPr="003B2B6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672184" w:rsidRPr="00672184">
        <w:rPr>
          <w:rFonts w:asciiTheme="minorHAnsi" w:hAnsiTheme="minorHAnsi" w:cstheme="minorHAnsi"/>
          <w:sz w:val="22"/>
          <w:szCs w:val="22"/>
        </w:rPr>
        <w:t>NABCI</w:t>
      </w:r>
      <w:r w:rsidR="00672184" w:rsidRPr="00672184">
        <w:rPr>
          <w:rFonts w:asciiTheme="minorHAnsi" w:hAnsiTheme="minorHAnsi" w:cstheme="minorHAnsi"/>
          <w:sz w:val="22"/>
          <w:szCs w:val="22"/>
        </w:rPr>
        <w:t xml:space="preserve"> </w:t>
      </w:r>
      <w:r w:rsidR="00672184" w:rsidRPr="00672184">
        <w:rPr>
          <w:rFonts w:asciiTheme="minorHAnsi" w:hAnsiTheme="minorHAnsi" w:cstheme="minorHAnsi"/>
          <w:b/>
          <w:bCs/>
          <w:sz w:val="22"/>
          <w:szCs w:val="22"/>
        </w:rPr>
        <w:t xml:space="preserve">re-formed </w:t>
      </w:r>
      <w:r w:rsidR="00672184" w:rsidRPr="00672184">
        <w:rPr>
          <w:rFonts w:asciiTheme="minorHAnsi" w:hAnsiTheme="minorHAnsi" w:cstheme="minorHAnsi"/>
          <w:b/>
          <w:bCs/>
          <w:sz w:val="22"/>
          <w:szCs w:val="22"/>
        </w:rPr>
        <w:t>its</w:t>
      </w:r>
      <w:r w:rsidR="00672184" w:rsidRPr="00672184">
        <w:rPr>
          <w:rFonts w:asciiTheme="minorHAnsi" w:hAnsiTheme="minorHAnsi" w:cstheme="minorHAnsi"/>
          <w:b/>
          <w:bCs/>
          <w:sz w:val="22"/>
          <w:szCs w:val="22"/>
        </w:rPr>
        <w:t xml:space="preserve"> dormant Legislative and Policy Subcommittee</w:t>
      </w:r>
      <w:r w:rsidR="00672184" w:rsidRPr="00672184">
        <w:rPr>
          <w:rFonts w:asciiTheme="minorHAnsi" w:hAnsiTheme="minorHAnsi" w:cstheme="minorHAnsi"/>
          <w:sz w:val="22"/>
          <w:szCs w:val="22"/>
        </w:rPr>
        <w:t xml:space="preserve">, </w:t>
      </w:r>
      <w:r w:rsidR="00672184">
        <w:rPr>
          <w:rFonts w:asciiTheme="minorHAnsi" w:hAnsiTheme="minorHAnsi" w:cstheme="minorHAnsi"/>
          <w:sz w:val="22"/>
          <w:szCs w:val="22"/>
        </w:rPr>
        <w:t xml:space="preserve">which will </w:t>
      </w:r>
      <w:r w:rsidR="006828CB">
        <w:rPr>
          <w:rFonts w:asciiTheme="minorHAnsi" w:hAnsiTheme="minorHAnsi" w:cstheme="minorHAnsi"/>
          <w:sz w:val="22"/>
          <w:szCs w:val="22"/>
        </w:rPr>
        <w:t>f</w:t>
      </w:r>
      <w:r w:rsidR="006828CB" w:rsidRPr="006828CB">
        <w:rPr>
          <w:rFonts w:asciiTheme="minorHAnsi" w:hAnsiTheme="minorHAnsi" w:cstheme="minorHAnsi"/>
          <w:sz w:val="22"/>
          <w:szCs w:val="22"/>
        </w:rPr>
        <w:t>acilitate coordinated communication with government leadership about highest priority programs, initiatives, and needs of bird conservation.</w:t>
      </w:r>
      <w:r w:rsidR="006828CB">
        <w:rPr>
          <w:rFonts w:asciiTheme="minorHAnsi" w:hAnsiTheme="minorHAnsi" w:cstheme="minorHAnsi"/>
          <w:sz w:val="22"/>
          <w:szCs w:val="22"/>
        </w:rPr>
        <w:t xml:space="preserve"> </w:t>
      </w:r>
      <w:r w:rsidR="00672184">
        <w:rPr>
          <w:rFonts w:asciiTheme="minorHAnsi" w:hAnsiTheme="minorHAnsi" w:cstheme="minorHAnsi"/>
          <w:sz w:val="22"/>
          <w:szCs w:val="22"/>
        </w:rPr>
        <w:t xml:space="preserve">In 2017, NABCI will develop a </w:t>
      </w:r>
      <w:r w:rsidR="00672184" w:rsidRPr="00672184">
        <w:rPr>
          <w:rFonts w:asciiTheme="minorHAnsi" w:hAnsiTheme="minorHAnsi" w:cstheme="minorHAnsi"/>
          <w:sz w:val="22"/>
          <w:szCs w:val="22"/>
        </w:rPr>
        <w:t xml:space="preserve">short, focused </w:t>
      </w:r>
      <w:hyperlink r:id="rId10" w:history="1">
        <w:r w:rsidR="00672184" w:rsidRPr="004C375F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State of the Birds report</w:t>
        </w:r>
      </w:hyperlink>
      <w:r w:rsidR="006721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72184" w:rsidRPr="00672184">
        <w:rPr>
          <w:rFonts w:asciiTheme="minorHAnsi" w:hAnsiTheme="minorHAnsi" w:cstheme="minorHAnsi"/>
          <w:b/>
          <w:bCs/>
          <w:sz w:val="22"/>
          <w:szCs w:val="22"/>
        </w:rPr>
        <w:t>focused on Farm Bill programs</w:t>
      </w:r>
      <w:r w:rsidR="00672184">
        <w:rPr>
          <w:rFonts w:asciiTheme="minorHAnsi" w:hAnsiTheme="minorHAnsi" w:cstheme="minorHAnsi"/>
          <w:sz w:val="22"/>
          <w:szCs w:val="22"/>
        </w:rPr>
        <w:t xml:space="preserve"> to demonstrate the Farm Bill’s importance to bird conservation</w:t>
      </w:r>
      <w:r w:rsidR="00672184" w:rsidRPr="00672184">
        <w:rPr>
          <w:rFonts w:asciiTheme="minorHAnsi" w:hAnsiTheme="minorHAnsi" w:cstheme="minorHAnsi"/>
          <w:sz w:val="22"/>
          <w:szCs w:val="22"/>
        </w:rPr>
        <w:t xml:space="preserve">.  As </w:t>
      </w:r>
      <w:r w:rsidR="00672184" w:rsidRPr="00672184">
        <w:rPr>
          <w:rFonts w:asciiTheme="minorHAnsi" w:hAnsiTheme="minorHAnsi" w:cstheme="minorHAnsi"/>
          <w:b/>
          <w:bCs/>
          <w:sz w:val="22"/>
          <w:szCs w:val="22"/>
        </w:rPr>
        <w:t>new leadership is identified</w:t>
      </w:r>
      <w:r w:rsidR="00672184" w:rsidRPr="00672184">
        <w:rPr>
          <w:rFonts w:asciiTheme="minorHAnsi" w:hAnsiTheme="minorHAnsi" w:cstheme="minorHAnsi"/>
          <w:sz w:val="22"/>
          <w:szCs w:val="22"/>
        </w:rPr>
        <w:t xml:space="preserve"> in the Department of the Interior and the USDA, our </w:t>
      </w:r>
      <w:r w:rsidR="00672184" w:rsidRPr="00672184">
        <w:rPr>
          <w:rFonts w:asciiTheme="minorHAnsi" w:hAnsiTheme="minorHAnsi" w:cstheme="minorHAnsi"/>
          <w:b/>
          <w:bCs/>
          <w:sz w:val="22"/>
          <w:szCs w:val="22"/>
        </w:rPr>
        <w:t>Executive Council will continue to develop relationships</w:t>
      </w:r>
      <w:r w:rsidR="00672184" w:rsidRPr="00672184">
        <w:rPr>
          <w:rFonts w:asciiTheme="minorHAnsi" w:hAnsiTheme="minorHAnsi" w:cstheme="minorHAnsi"/>
          <w:sz w:val="22"/>
          <w:szCs w:val="22"/>
        </w:rPr>
        <w:t xml:space="preserve"> with these leaders to share bird conservation priorities and learn how NABCI can best support these leaders and their agencies.</w:t>
      </w:r>
    </w:p>
    <w:p w14:paraId="405C8BC9" w14:textId="098F8BCD" w:rsidR="00672184" w:rsidRDefault="00672184" w:rsidP="007B70F3">
      <w:pPr>
        <w:rPr>
          <w:rFonts w:asciiTheme="minorHAnsi" w:hAnsiTheme="minorHAnsi" w:cstheme="minorHAnsi"/>
          <w:sz w:val="22"/>
          <w:szCs w:val="22"/>
        </w:rPr>
      </w:pPr>
      <w:r w:rsidRPr="00AF1098">
        <w:rPr>
          <w:rFonts w:asciiTheme="minorHAnsi" w:hAnsiTheme="minorHAnsi" w:cstheme="minorHAnsi"/>
          <w:b/>
          <w:sz w:val="22"/>
          <w:szCs w:val="22"/>
          <w:u w:val="single"/>
        </w:rPr>
        <w:t>Demonstrating Relevance</w:t>
      </w:r>
      <w:r w:rsidR="00885EDA" w:rsidRPr="003B2B63">
        <w:rPr>
          <w:rFonts w:asciiTheme="minorHAnsi" w:hAnsiTheme="minorHAnsi" w:cstheme="minorHAnsi"/>
          <w:sz w:val="22"/>
          <w:szCs w:val="22"/>
        </w:rPr>
        <w:t xml:space="preserve">: </w:t>
      </w:r>
      <w:r>
        <w:rPr>
          <w:rFonts w:asciiTheme="minorHAnsi" w:hAnsiTheme="minorHAnsi" w:cstheme="minorHAnsi"/>
          <w:sz w:val="22"/>
          <w:szCs w:val="22"/>
        </w:rPr>
        <w:t xml:space="preserve">NABCI’s </w:t>
      </w:r>
      <w:r w:rsidR="00A6241D">
        <w:rPr>
          <w:rFonts w:asciiTheme="minorHAnsi" w:hAnsiTheme="minorHAnsi" w:cstheme="minorHAnsi"/>
          <w:sz w:val="22"/>
          <w:szCs w:val="22"/>
        </w:rPr>
        <w:t xml:space="preserve">new </w:t>
      </w:r>
      <w:r>
        <w:rPr>
          <w:rFonts w:asciiTheme="minorHAnsi" w:hAnsiTheme="minorHAnsi" w:cstheme="minorHAnsi"/>
          <w:sz w:val="22"/>
          <w:szCs w:val="22"/>
        </w:rPr>
        <w:t>Vision</w:t>
      </w:r>
      <w:r w:rsidR="006828CB">
        <w:rPr>
          <w:rFonts w:asciiTheme="minorHAnsi" w:hAnsiTheme="minorHAnsi" w:cstheme="minorHAnsi"/>
          <w:sz w:val="22"/>
          <w:szCs w:val="22"/>
        </w:rPr>
        <w:t>, adopted in December 2016,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6828CB">
        <w:rPr>
          <w:rFonts w:asciiTheme="minorHAnsi" w:hAnsiTheme="minorHAnsi" w:cstheme="minorHAnsi"/>
          <w:sz w:val="22"/>
          <w:szCs w:val="22"/>
        </w:rPr>
        <w:t>emphasizes</w:t>
      </w:r>
      <w:r>
        <w:rPr>
          <w:rFonts w:asciiTheme="minorHAnsi" w:hAnsiTheme="minorHAnsi" w:cstheme="minorHAnsi"/>
          <w:sz w:val="22"/>
          <w:szCs w:val="22"/>
        </w:rPr>
        <w:t xml:space="preserve"> the important connections between birds, habitats, and people.  </w:t>
      </w:r>
      <w:r w:rsidR="001456F7">
        <w:rPr>
          <w:rFonts w:asciiTheme="minorHAnsi" w:hAnsiTheme="minorHAnsi" w:cstheme="minorHAnsi"/>
          <w:sz w:val="22"/>
          <w:szCs w:val="22"/>
        </w:rPr>
        <w:t xml:space="preserve">Aligning bird conservation priorities with economics and human health interests will yield the highest level of success for the bird conservation community. NABCI will develop talking points highlighting the </w:t>
      </w:r>
      <w:r w:rsidR="001456F7" w:rsidRPr="001456F7">
        <w:rPr>
          <w:rFonts w:asciiTheme="minorHAnsi" w:hAnsiTheme="minorHAnsi" w:cstheme="minorHAnsi"/>
          <w:b/>
          <w:sz w:val="22"/>
          <w:szCs w:val="22"/>
        </w:rPr>
        <w:t>links between bird conservation, health, and economic benefits</w:t>
      </w:r>
      <w:r w:rsidR="001456F7">
        <w:rPr>
          <w:rFonts w:asciiTheme="minorHAnsi" w:hAnsiTheme="minorHAnsi" w:cstheme="minorHAnsi"/>
          <w:sz w:val="22"/>
          <w:szCs w:val="22"/>
        </w:rPr>
        <w:t xml:space="preserve"> to initiate conversations with potential partners outside of bird conservation</w:t>
      </w:r>
      <w:r w:rsidR="006828CB">
        <w:rPr>
          <w:rFonts w:asciiTheme="minorHAnsi" w:hAnsiTheme="minorHAnsi" w:cstheme="minorHAnsi"/>
          <w:sz w:val="22"/>
          <w:szCs w:val="22"/>
        </w:rPr>
        <w:t>, nationally and internationally</w:t>
      </w:r>
      <w:r w:rsidR="001456F7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BAB83BB" w14:textId="33A36E12" w:rsidR="001456F7" w:rsidRDefault="001456F7" w:rsidP="007B70F3">
      <w:pPr>
        <w:rPr>
          <w:rFonts w:asciiTheme="minorHAnsi" w:hAnsiTheme="minorHAnsi" w:cstheme="minorHAnsi"/>
          <w:sz w:val="22"/>
          <w:szCs w:val="22"/>
        </w:rPr>
      </w:pPr>
      <w:r w:rsidRPr="00AF1098">
        <w:rPr>
          <w:rFonts w:asciiTheme="minorHAnsi" w:hAnsiTheme="minorHAnsi" w:cstheme="minorHAnsi"/>
          <w:b/>
          <w:sz w:val="22"/>
          <w:szCs w:val="22"/>
          <w:u w:val="single"/>
        </w:rPr>
        <w:t>Bird Conservation Priorities</w:t>
      </w:r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944726">
        <w:rPr>
          <w:rFonts w:asciiTheme="minorHAnsi" w:hAnsiTheme="minorHAnsi" w:cstheme="minorHAnsi"/>
          <w:sz w:val="22"/>
          <w:szCs w:val="22"/>
        </w:rPr>
        <w:t xml:space="preserve">NABCI’s strategic plan states that NABCI will </w:t>
      </w:r>
      <w:r w:rsidR="00944726">
        <w:rPr>
          <w:rFonts w:asciiTheme="minorHAnsi" w:hAnsiTheme="minorHAnsi" w:cstheme="minorHAnsi"/>
          <w:sz w:val="22"/>
          <w:szCs w:val="22"/>
        </w:rPr>
        <w:t>s</w:t>
      </w:r>
      <w:r w:rsidRPr="00944726">
        <w:rPr>
          <w:rFonts w:asciiTheme="minorHAnsi" w:hAnsiTheme="minorHAnsi" w:cstheme="minorHAnsi"/>
          <w:sz w:val="22"/>
          <w:szCs w:val="22"/>
        </w:rPr>
        <w:t xml:space="preserve">upport, develop, integrate, and promote priorities of </w:t>
      </w:r>
      <w:r w:rsidR="00944726" w:rsidRPr="00944726">
        <w:rPr>
          <w:rFonts w:asciiTheme="minorHAnsi" w:hAnsiTheme="minorHAnsi" w:cstheme="minorHAnsi"/>
          <w:sz w:val="22"/>
          <w:szCs w:val="22"/>
        </w:rPr>
        <w:t>regional</w:t>
      </w:r>
      <w:r w:rsidRPr="00944726">
        <w:rPr>
          <w:rFonts w:asciiTheme="minorHAnsi" w:hAnsiTheme="minorHAnsi" w:cstheme="minorHAnsi"/>
          <w:sz w:val="22"/>
          <w:szCs w:val="22"/>
        </w:rPr>
        <w:t xml:space="preserve">, national and international bird conservation partnerships. NABCI </w:t>
      </w:r>
      <w:r w:rsidRPr="00944726">
        <w:rPr>
          <w:rFonts w:asciiTheme="minorHAnsi" w:hAnsiTheme="minorHAnsi" w:cstheme="minorHAnsi"/>
          <w:sz w:val="22"/>
          <w:szCs w:val="22"/>
        </w:rPr>
        <w:t>will identify</w:t>
      </w:r>
      <w:r w:rsidRPr="00944726">
        <w:rPr>
          <w:rFonts w:asciiTheme="minorHAnsi" w:hAnsiTheme="minorHAnsi" w:cstheme="minorHAnsi"/>
          <w:sz w:val="22"/>
          <w:szCs w:val="22"/>
        </w:rPr>
        <w:t xml:space="preserve"> a </w:t>
      </w:r>
      <w:r w:rsidRPr="00944726">
        <w:rPr>
          <w:rFonts w:asciiTheme="minorHAnsi" w:hAnsiTheme="minorHAnsi" w:cstheme="minorHAnsi"/>
          <w:b/>
          <w:bCs/>
          <w:sz w:val="22"/>
          <w:szCs w:val="22"/>
        </w:rPr>
        <w:t>short, focused list of key priorities</w:t>
      </w:r>
      <w:r w:rsidRPr="00944726">
        <w:rPr>
          <w:rFonts w:asciiTheme="minorHAnsi" w:hAnsiTheme="minorHAnsi" w:cstheme="minorHAnsi"/>
          <w:sz w:val="22"/>
          <w:szCs w:val="22"/>
        </w:rPr>
        <w:t xml:space="preserve"> from across the bird conservation committee to help guide and support decision making</w:t>
      </w:r>
      <w:r w:rsidRPr="00944726">
        <w:rPr>
          <w:rFonts w:asciiTheme="minorHAnsi" w:hAnsiTheme="minorHAnsi" w:cstheme="minorHAnsi"/>
          <w:sz w:val="22"/>
          <w:szCs w:val="22"/>
        </w:rPr>
        <w:t xml:space="preserve"> around research focus, funding decisions, or partnership opportunities</w:t>
      </w:r>
      <w:r w:rsidRPr="00944726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FC26D07" w14:textId="49A3A982" w:rsidR="00E74217" w:rsidRDefault="00E74217" w:rsidP="007B70F3">
      <w:pPr>
        <w:rPr>
          <w:rFonts w:asciiTheme="minorHAnsi" w:hAnsiTheme="minorHAnsi" w:cstheme="minorHAnsi"/>
          <w:sz w:val="22"/>
          <w:szCs w:val="22"/>
        </w:rPr>
      </w:pPr>
      <w:r w:rsidRPr="00E74217">
        <w:rPr>
          <w:rFonts w:asciiTheme="minorHAnsi" w:hAnsiTheme="minorHAnsi" w:cstheme="minorHAnsi"/>
          <w:b/>
          <w:sz w:val="22"/>
          <w:szCs w:val="22"/>
          <w:u w:val="single"/>
        </w:rPr>
        <w:t>Honoring Retiring Partners</w:t>
      </w:r>
      <w:r>
        <w:rPr>
          <w:rFonts w:asciiTheme="minorHAnsi" w:hAnsiTheme="minorHAnsi" w:cstheme="minorHAnsi"/>
          <w:sz w:val="22"/>
          <w:szCs w:val="22"/>
        </w:rPr>
        <w:t>: NABCI honored its two</w:t>
      </w:r>
      <w:r w:rsidR="00A6241D">
        <w:rPr>
          <w:rFonts w:asciiTheme="minorHAnsi" w:hAnsiTheme="minorHAnsi" w:cstheme="minorHAnsi"/>
          <w:sz w:val="22"/>
          <w:szCs w:val="22"/>
        </w:rPr>
        <w:t xml:space="preserve"> remaining</w:t>
      </w:r>
      <w:r>
        <w:rPr>
          <w:rFonts w:asciiTheme="minorHAnsi" w:hAnsiTheme="minorHAnsi" w:cstheme="minorHAnsi"/>
          <w:sz w:val="22"/>
          <w:szCs w:val="22"/>
        </w:rPr>
        <w:t xml:space="preserve"> founding members, David Pashley and Scott Yaich, both of whom will retire/step down after this meeting.</w:t>
      </w:r>
    </w:p>
    <w:p w14:paraId="6A694A06" w14:textId="77777777" w:rsidR="00672184" w:rsidRDefault="00672184" w:rsidP="007B70F3">
      <w:pPr>
        <w:rPr>
          <w:rFonts w:asciiTheme="minorHAnsi" w:hAnsiTheme="minorHAnsi" w:cstheme="minorHAnsi"/>
          <w:sz w:val="22"/>
          <w:szCs w:val="22"/>
        </w:rPr>
      </w:pPr>
    </w:p>
    <w:p w14:paraId="6B222852" w14:textId="77777777" w:rsidR="00C462AF" w:rsidRPr="00EB3657" w:rsidRDefault="00C462AF" w:rsidP="00A126C5">
      <w:pPr>
        <w:jc w:val="center"/>
        <w:rPr>
          <w:rFonts w:asciiTheme="minorHAnsi" w:hAnsiTheme="minorHAnsi" w:cstheme="minorHAnsi"/>
          <w:b/>
          <w:sz w:val="8"/>
          <w:szCs w:val="8"/>
          <w:highlight w:val="yellow"/>
        </w:rPr>
      </w:pPr>
    </w:p>
    <w:p w14:paraId="6B222853" w14:textId="78158E53" w:rsidR="00A345C2" w:rsidRPr="00A6241D" w:rsidRDefault="00A345C2" w:rsidP="00927DA7">
      <w:pPr>
        <w:pStyle w:val="ListParagraph"/>
        <w:spacing w:line="240" w:lineRule="auto"/>
        <w:ind w:left="90" w:hanging="90"/>
        <w:jc w:val="center"/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</w:pPr>
      <w:r w:rsidRPr="00A6241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Products</w:t>
      </w:r>
      <w:r w:rsidR="00672184" w:rsidRPr="00A6241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and Accomplishments</w:t>
      </w:r>
      <w:r w:rsidRPr="00A6241D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 xml:space="preserve"> for National and International Bird Conservation</w:t>
      </w:r>
    </w:p>
    <w:p w14:paraId="1AAD82A7" w14:textId="69B223A2" w:rsidR="00944726" w:rsidRDefault="00944726" w:rsidP="00944726">
      <w:pPr>
        <w:pStyle w:val="ListParagraph"/>
        <w:spacing w:after="0" w:line="240" w:lineRule="auto"/>
        <w:ind w:left="0"/>
        <w:rPr>
          <w:rFonts w:cs="Calibri"/>
          <w:bCs/>
          <w:iCs/>
          <w:color w:val="000000"/>
        </w:rPr>
      </w:pPr>
      <w:r w:rsidRPr="00B37F38">
        <w:rPr>
          <w:rFonts w:asciiTheme="minorHAnsi" w:hAnsiTheme="minorHAnsi" w:cstheme="minorHAnsi"/>
          <w:b/>
          <w:szCs w:val="24"/>
        </w:rPr>
        <w:t>Revised NABCI Website</w:t>
      </w:r>
      <w:r>
        <w:rPr>
          <w:rFonts w:asciiTheme="minorHAnsi" w:hAnsiTheme="minorHAnsi" w:cstheme="minorHAnsi"/>
          <w:szCs w:val="24"/>
        </w:rPr>
        <w:t xml:space="preserve">: </w:t>
      </w:r>
      <w:r w:rsidR="00EA3D88">
        <w:rPr>
          <w:rFonts w:asciiTheme="minorHAnsi" w:hAnsiTheme="minorHAnsi" w:cstheme="minorHAnsi"/>
          <w:szCs w:val="24"/>
        </w:rPr>
        <w:t xml:space="preserve">NABCI aims to strengthen communication within the bird conservation community. </w:t>
      </w:r>
      <w:r>
        <w:rPr>
          <w:rFonts w:cs="Calibri"/>
          <w:bCs/>
          <w:iCs/>
          <w:color w:val="000000"/>
        </w:rPr>
        <w:t xml:space="preserve">NABCI launched a </w:t>
      </w:r>
      <w:hyperlink r:id="rId11" w:history="1">
        <w:r w:rsidRPr="004C375F">
          <w:rPr>
            <w:rStyle w:val="Hyperlink"/>
            <w:rFonts w:cs="Calibri"/>
            <w:bCs/>
            <w:iCs/>
          </w:rPr>
          <w:t>new website</w:t>
        </w:r>
      </w:hyperlink>
      <w:r>
        <w:rPr>
          <w:rFonts w:cs="Calibri"/>
          <w:bCs/>
          <w:iCs/>
          <w:color w:val="000000"/>
        </w:rPr>
        <w:t xml:space="preserve"> in October 2016; this website serves as a repository for national bird conservation </w:t>
      </w:r>
      <w:hyperlink r:id="rId12" w:history="1">
        <w:r w:rsidRPr="004C375F">
          <w:rPr>
            <w:rStyle w:val="Hyperlink"/>
            <w:rFonts w:cs="Calibri"/>
            <w:bCs/>
            <w:iCs/>
          </w:rPr>
          <w:t>resources</w:t>
        </w:r>
      </w:hyperlink>
      <w:r>
        <w:rPr>
          <w:rFonts w:cs="Calibri"/>
          <w:bCs/>
          <w:iCs/>
          <w:color w:val="000000"/>
        </w:rPr>
        <w:t xml:space="preserve">, provides a </w:t>
      </w:r>
      <w:hyperlink r:id="rId13" w:history="1">
        <w:r w:rsidRPr="004C375F">
          <w:rPr>
            <w:rStyle w:val="Hyperlink"/>
            <w:rFonts w:cs="Calibri"/>
            <w:bCs/>
            <w:iCs/>
          </w:rPr>
          <w:t>guide to the bird conservation community</w:t>
        </w:r>
      </w:hyperlink>
      <w:r w:rsidR="004C375F">
        <w:rPr>
          <w:rFonts w:cs="Calibri"/>
          <w:bCs/>
          <w:iCs/>
          <w:color w:val="000000"/>
        </w:rPr>
        <w:t xml:space="preserve"> and its </w:t>
      </w:r>
      <w:hyperlink r:id="rId14" w:history="1">
        <w:r w:rsidR="004C375F" w:rsidRPr="004C375F">
          <w:rPr>
            <w:rStyle w:val="Hyperlink"/>
            <w:rFonts w:cs="Calibri"/>
            <w:bCs/>
            <w:iCs/>
          </w:rPr>
          <w:t>national partnerships</w:t>
        </w:r>
      </w:hyperlink>
      <w:r>
        <w:rPr>
          <w:rFonts w:cs="Calibri"/>
          <w:bCs/>
          <w:iCs/>
          <w:color w:val="000000"/>
        </w:rPr>
        <w:t xml:space="preserve">, and hosts information about NABCI, its products, and its </w:t>
      </w:r>
      <w:hyperlink r:id="rId15" w:history="1">
        <w:r w:rsidRPr="004C375F">
          <w:rPr>
            <w:rStyle w:val="Hyperlink"/>
            <w:rFonts w:cs="Calibri"/>
            <w:bCs/>
            <w:iCs/>
          </w:rPr>
          <w:t>Subcommittees</w:t>
        </w:r>
      </w:hyperlink>
      <w:r>
        <w:rPr>
          <w:rFonts w:cs="Calibri"/>
          <w:bCs/>
          <w:iCs/>
          <w:color w:val="000000"/>
        </w:rPr>
        <w:t xml:space="preserve">.  </w:t>
      </w:r>
    </w:p>
    <w:p w14:paraId="6410A5A5" w14:textId="6F0EA52E" w:rsidR="00944726" w:rsidRDefault="00944726" w:rsidP="00944726">
      <w:pPr>
        <w:pStyle w:val="ListParagraph"/>
        <w:spacing w:after="0" w:line="240" w:lineRule="auto"/>
        <w:ind w:left="0"/>
        <w:rPr>
          <w:bCs/>
          <w:color w:val="000000"/>
        </w:rPr>
      </w:pPr>
      <w:r w:rsidRPr="00944726">
        <w:rPr>
          <w:rFonts w:cs="Calibri"/>
          <w:b/>
          <w:bCs/>
          <w:iCs/>
          <w:color w:val="000000"/>
        </w:rPr>
        <w:t>National Bird Conservation Social Science Coordinator</w:t>
      </w:r>
      <w:r>
        <w:rPr>
          <w:rFonts w:cs="Calibri"/>
          <w:bCs/>
          <w:iCs/>
          <w:color w:val="000000"/>
        </w:rPr>
        <w:t xml:space="preserve">:  Ashley Gramza </w:t>
      </w:r>
      <w:r w:rsidR="004C375F">
        <w:rPr>
          <w:rFonts w:cs="Calibri"/>
          <w:bCs/>
          <w:iCs/>
          <w:color w:val="000000"/>
        </w:rPr>
        <w:fldChar w:fldCharType="begin"/>
      </w:r>
      <w:r w:rsidR="004C375F">
        <w:rPr>
          <w:rFonts w:cs="Calibri"/>
          <w:bCs/>
          <w:iCs/>
          <w:color w:val="000000"/>
        </w:rPr>
        <w:instrText xml:space="preserve"> HYPERLINK "http://nabci-us.org/meet-new-national-bird-conservation-social-science-coordinator/" </w:instrText>
      </w:r>
      <w:r w:rsidR="004C375F">
        <w:rPr>
          <w:rFonts w:cs="Calibri"/>
          <w:bCs/>
          <w:iCs/>
          <w:color w:val="000000"/>
        </w:rPr>
      </w:r>
      <w:r w:rsidR="004C375F">
        <w:rPr>
          <w:rFonts w:cs="Calibri"/>
          <w:bCs/>
          <w:iCs/>
          <w:color w:val="000000"/>
        </w:rPr>
        <w:fldChar w:fldCharType="separate"/>
      </w:r>
      <w:r w:rsidRPr="004C375F">
        <w:rPr>
          <w:rStyle w:val="Hyperlink"/>
          <w:rFonts w:cs="Calibri"/>
          <w:bCs/>
          <w:iCs/>
        </w:rPr>
        <w:t>began her role as the first N</w:t>
      </w:r>
      <w:r w:rsidR="004C375F" w:rsidRPr="004C375F">
        <w:rPr>
          <w:rStyle w:val="Hyperlink"/>
          <w:rFonts w:cs="Calibri"/>
          <w:bCs/>
          <w:iCs/>
        </w:rPr>
        <w:t xml:space="preserve">ational </w:t>
      </w:r>
      <w:r w:rsidRPr="004C375F">
        <w:rPr>
          <w:rStyle w:val="Hyperlink"/>
          <w:rFonts w:cs="Calibri"/>
          <w:bCs/>
          <w:iCs/>
        </w:rPr>
        <w:t>B</w:t>
      </w:r>
      <w:r w:rsidR="004C375F" w:rsidRPr="004C375F">
        <w:rPr>
          <w:rStyle w:val="Hyperlink"/>
          <w:rFonts w:cs="Calibri"/>
          <w:bCs/>
          <w:iCs/>
        </w:rPr>
        <w:t xml:space="preserve">ird </w:t>
      </w:r>
      <w:r w:rsidRPr="004C375F">
        <w:rPr>
          <w:rStyle w:val="Hyperlink"/>
          <w:rFonts w:cs="Calibri"/>
          <w:bCs/>
          <w:iCs/>
        </w:rPr>
        <w:t>C</w:t>
      </w:r>
      <w:r w:rsidR="004C375F" w:rsidRPr="004C375F">
        <w:rPr>
          <w:rStyle w:val="Hyperlink"/>
          <w:rFonts w:cs="Calibri"/>
          <w:bCs/>
          <w:iCs/>
        </w:rPr>
        <w:t xml:space="preserve">onservation </w:t>
      </w:r>
      <w:r w:rsidRPr="004C375F">
        <w:rPr>
          <w:rStyle w:val="Hyperlink"/>
          <w:rFonts w:cs="Calibri"/>
          <w:bCs/>
          <w:iCs/>
        </w:rPr>
        <w:t>S</w:t>
      </w:r>
      <w:r w:rsidR="004C375F" w:rsidRPr="004C375F">
        <w:rPr>
          <w:rStyle w:val="Hyperlink"/>
          <w:rFonts w:cs="Calibri"/>
          <w:bCs/>
          <w:iCs/>
        </w:rPr>
        <w:t xml:space="preserve">ocial </w:t>
      </w:r>
      <w:r w:rsidRPr="004C375F">
        <w:rPr>
          <w:rStyle w:val="Hyperlink"/>
          <w:rFonts w:cs="Calibri"/>
          <w:bCs/>
          <w:iCs/>
        </w:rPr>
        <w:t>S</w:t>
      </w:r>
      <w:r w:rsidR="004C375F" w:rsidRPr="004C375F">
        <w:rPr>
          <w:rStyle w:val="Hyperlink"/>
          <w:rFonts w:cs="Calibri"/>
          <w:bCs/>
          <w:iCs/>
        </w:rPr>
        <w:t xml:space="preserve">cience </w:t>
      </w:r>
      <w:r w:rsidRPr="004C375F">
        <w:rPr>
          <w:rStyle w:val="Hyperlink"/>
          <w:rFonts w:cs="Calibri"/>
          <w:bCs/>
          <w:iCs/>
        </w:rPr>
        <w:t>C</w:t>
      </w:r>
      <w:r w:rsidR="004C375F" w:rsidRPr="004C375F">
        <w:rPr>
          <w:rStyle w:val="Hyperlink"/>
          <w:rFonts w:cs="Calibri"/>
          <w:bCs/>
          <w:iCs/>
        </w:rPr>
        <w:t>oordinator</w:t>
      </w:r>
      <w:r w:rsidR="004C375F">
        <w:rPr>
          <w:rFonts w:cs="Calibri"/>
          <w:bCs/>
          <w:iCs/>
          <w:color w:val="000000"/>
        </w:rPr>
        <w:fldChar w:fldCharType="end"/>
      </w:r>
      <w:r>
        <w:rPr>
          <w:rFonts w:cs="Calibri"/>
          <w:bCs/>
          <w:iCs/>
          <w:color w:val="000000"/>
        </w:rPr>
        <w:t xml:space="preserve"> </w:t>
      </w:r>
      <w:r>
        <w:rPr>
          <w:rFonts w:cs="Calibri"/>
          <w:bCs/>
          <w:iCs/>
          <w:color w:val="000000"/>
        </w:rPr>
        <w:t xml:space="preserve">in January 2017. </w:t>
      </w:r>
      <w:r w:rsidR="003E7382">
        <w:rPr>
          <w:bCs/>
          <w:color w:val="000000"/>
        </w:rPr>
        <w:t>This position will be 50% research coordination and 50% capacity building and outreach.</w:t>
      </w:r>
      <w:r w:rsidR="003E7382">
        <w:rPr>
          <w:bCs/>
          <w:color w:val="000000"/>
        </w:rPr>
        <w:t xml:space="preserve"> This position will help bird conservation practitioners understand how to use social science resources to more effectively implement bird conservation, and link practitioners with relevant resources. </w:t>
      </w:r>
    </w:p>
    <w:p w14:paraId="4E3AC4E5" w14:textId="47A3D295" w:rsidR="00AF1098" w:rsidRDefault="00B60318" w:rsidP="00AF1098">
      <w:pPr>
        <w:contextualSpacing/>
        <w:rPr>
          <w:rFonts w:asciiTheme="minorHAnsi" w:hAnsiTheme="minorHAnsi" w:cstheme="minorHAnsi"/>
          <w:color w:val="000000"/>
          <w:sz w:val="22"/>
          <w:szCs w:val="22"/>
        </w:rPr>
      </w:pPr>
      <w:r w:rsidRPr="00AF1098">
        <w:rPr>
          <w:rFonts w:asciiTheme="minorHAnsi" w:hAnsiTheme="minorHAnsi" w:cstheme="minorHAnsi"/>
          <w:b/>
          <w:bCs/>
          <w:color w:val="000000"/>
          <w:sz w:val="22"/>
          <w:szCs w:val="22"/>
        </w:rPr>
        <w:t>Hemispheric Vision for Bird Conservation</w:t>
      </w:r>
      <w:r w:rsidRPr="00AF1098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: </w:t>
      </w:r>
      <w:r w:rsidR="00AF1098" w:rsidRPr="00AF1098">
        <w:rPr>
          <w:rFonts w:asciiTheme="minorHAnsi" w:hAnsiTheme="minorHAnsi" w:cstheme="minorHAnsi"/>
          <w:color w:val="000000"/>
          <w:sz w:val="22"/>
          <w:szCs w:val="22"/>
        </w:rPr>
        <w:t xml:space="preserve">The governments of US, Canada, and Mexico, with input from NABCI’s international Subcommittee, released a framework for a </w:t>
      </w:r>
      <w:hyperlink r:id="rId16" w:history="1">
        <w:r w:rsidR="00AF1098" w:rsidRPr="00AF1098">
          <w:rPr>
            <w:rStyle w:val="Hyperlink"/>
            <w:rFonts w:asciiTheme="minorHAnsi" w:hAnsiTheme="minorHAnsi" w:cstheme="minorHAnsi"/>
            <w:sz w:val="22"/>
            <w:szCs w:val="22"/>
          </w:rPr>
          <w:t>Hemispheric Vision for Bird Conservation</w:t>
        </w:r>
      </w:hyperlink>
      <w:r w:rsidR="00AF1098" w:rsidRPr="00AF1098">
        <w:rPr>
          <w:rFonts w:asciiTheme="minorHAnsi" w:hAnsiTheme="minorHAnsi" w:cstheme="minorHAnsi"/>
          <w:color w:val="000000"/>
          <w:sz w:val="22"/>
          <w:szCs w:val="22"/>
        </w:rPr>
        <w:t xml:space="preserve"> for the next century. The </w:t>
      </w:r>
      <w:r w:rsidR="00AF1098">
        <w:rPr>
          <w:rFonts w:asciiTheme="minorHAnsi" w:hAnsiTheme="minorHAnsi" w:cstheme="minorHAnsi"/>
          <w:color w:val="000000"/>
          <w:sz w:val="22"/>
          <w:szCs w:val="22"/>
        </w:rPr>
        <w:t xml:space="preserve">US </w:t>
      </w:r>
      <w:r w:rsidR="00AF1098" w:rsidRPr="00AF1098">
        <w:rPr>
          <w:rFonts w:asciiTheme="minorHAnsi" w:hAnsiTheme="minorHAnsi" w:cstheme="minorHAnsi"/>
          <w:color w:val="000000"/>
          <w:sz w:val="22"/>
          <w:szCs w:val="22"/>
        </w:rPr>
        <w:t xml:space="preserve">NABCI Committee </w:t>
      </w:r>
      <w:r w:rsidR="00AF1098">
        <w:rPr>
          <w:rFonts w:asciiTheme="minorHAnsi" w:hAnsiTheme="minorHAnsi" w:cstheme="minorHAnsi"/>
          <w:color w:val="000000"/>
          <w:sz w:val="22"/>
          <w:szCs w:val="22"/>
        </w:rPr>
        <w:t xml:space="preserve">endorsed this Hemispheric Vision but suggested edits to increase the Vision’s focus on people and cooperation, rather than birds, to demonstrate the Vision’s relevance to a broader audience. </w:t>
      </w:r>
    </w:p>
    <w:p w14:paraId="27A788D2" w14:textId="56573093" w:rsidR="00B60318" w:rsidRDefault="00B60318" w:rsidP="00944726">
      <w:pPr>
        <w:pStyle w:val="ListParagraph"/>
        <w:spacing w:after="0" w:line="240" w:lineRule="auto"/>
        <w:ind w:left="0"/>
        <w:rPr>
          <w:rFonts w:cs="Calibri"/>
          <w:bCs/>
          <w:iCs/>
          <w:color w:val="000000"/>
        </w:rPr>
      </w:pPr>
    </w:p>
    <w:p w14:paraId="524628FB" w14:textId="77777777" w:rsidR="003E7382" w:rsidRDefault="003E7382" w:rsidP="00944726">
      <w:pPr>
        <w:pStyle w:val="ListParagraph"/>
        <w:spacing w:after="0" w:line="240" w:lineRule="auto"/>
        <w:ind w:left="0"/>
        <w:rPr>
          <w:rFonts w:cs="Calibri"/>
          <w:bCs/>
          <w:iCs/>
          <w:color w:val="000000"/>
        </w:rPr>
      </w:pPr>
    </w:p>
    <w:p w14:paraId="6B222857" w14:textId="77777777" w:rsidR="005A20FA" w:rsidRPr="005A20FA" w:rsidRDefault="005A20FA" w:rsidP="00253154">
      <w:pPr>
        <w:pStyle w:val="ListParagraph"/>
        <w:spacing w:after="0" w:line="240" w:lineRule="auto"/>
        <w:ind w:left="0"/>
        <w:rPr>
          <w:rFonts w:asciiTheme="minorHAnsi" w:hAnsiTheme="minorHAnsi" w:cstheme="minorHAnsi"/>
          <w:b/>
          <w:sz w:val="2"/>
          <w:szCs w:val="2"/>
        </w:rPr>
      </w:pPr>
      <w:bookmarkStart w:id="0" w:name="_GoBack"/>
      <w:bookmarkEnd w:id="0"/>
    </w:p>
    <w:sectPr w:rsidR="005A20FA" w:rsidRPr="005A20FA" w:rsidSect="00927DA7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22285C" w14:textId="77777777" w:rsidR="00A41BB6" w:rsidRDefault="00A41BB6" w:rsidP="0050108C">
      <w:r>
        <w:separator/>
      </w:r>
    </w:p>
  </w:endnote>
  <w:endnote w:type="continuationSeparator" w:id="0">
    <w:p w14:paraId="6B22285D" w14:textId="77777777" w:rsidR="00A41BB6" w:rsidRDefault="00A41BB6" w:rsidP="00501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22285A" w14:textId="77777777" w:rsidR="00A41BB6" w:rsidRDefault="00A41BB6" w:rsidP="0050108C">
      <w:r>
        <w:separator/>
      </w:r>
    </w:p>
  </w:footnote>
  <w:footnote w:type="continuationSeparator" w:id="0">
    <w:p w14:paraId="6B22285B" w14:textId="77777777" w:rsidR="00A41BB6" w:rsidRDefault="00A41BB6" w:rsidP="005010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2A05"/>
    <w:multiLevelType w:val="hybridMultilevel"/>
    <w:tmpl w:val="79A07F24"/>
    <w:lvl w:ilvl="0" w:tplc="ED6247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72045E">
      <w:start w:val="113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302D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24F0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2A19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E5F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12A1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46CE6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3C08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B18FB"/>
    <w:multiLevelType w:val="hybridMultilevel"/>
    <w:tmpl w:val="19342DE2"/>
    <w:lvl w:ilvl="0" w:tplc="821A7FA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E76F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70F46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32B73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0B2D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6A8130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7AB73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0214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86A0F0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45C3233"/>
    <w:multiLevelType w:val="hybridMultilevel"/>
    <w:tmpl w:val="24B6B282"/>
    <w:lvl w:ilvl="0" w:tplc="63DA32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5227DE"/>
    <w:multiLevelType w:val="hybridMultilevel"/>
    <w:tmpl w:val="5F1E659E"/>
    <w:lvl w:ilvl="0" w:tplc="FBAA31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750EE52">
      <w:start w:val="1673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A4282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5885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08D12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844730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B801A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ECB0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044B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B513405"/>
    <w:multiLevelType w:val="hybridMultilevel"/>
    <w:tmpl w:val="B3266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F2AE8"/>
    <w:multiLevelType w:val="hybridMultilevel"/>
    <w:tmpl w:val="4356AEEE"/>
    <w:lvl w:ilvl="0" w:tplc="07E64A56">
      <w:numFmt w:val="bullet"/>
      <w:lvlText w:val="-"/>
      <w:lvlJc w:val="left"/>
      <w:pPr>
        <w:ind w:left="1080" w:hanging="360"/>
      </w:pPr>
      <w:rPr>
        <w:rFonts w:ascii="Calibri" w:eastAsia="Times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7972DD"/>
    <w:multiLevelType w:val="hybridMultilevel"/>
    <w:tmpl w:val="4AA2AD26"/>
    <w:lvl w:ilvl="0" w:tplc="1AA6CB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336A73"/>
    <w:multiLevelType w:val="hybridMultilevel"/>
    <w:tmpl w:val="5AF0274C"/>
    <w:lvl w:ilvl="0" w:tplc="493E6266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17E49"/>
    <w:multiLevelType w:val="hybridMultilevel"/>
    <w:tmpl w:val="E72C2C0A"/>
    <w:lvl w:ilvl="0" w:tplc="FC0052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A674C"/>
    <w:multiLevelType w:val="hybridMultilevel"/>
    <w:tmpl w:val="A97C98FE"/>
    <w:lvl w:ilvl="0" w:tplc="D3641A1E">
      <w:start w:val="1"/>
      <w:numFmt w:val="decimal"/>
      <w:lvlText w:val="%1)"/>
      <w:lvlJc w:val="left"/>
      <w:pPr>
        <w:ind w:left="1080" w:hanging="360"/>
      </w:pPr>
      <w:rPr>
        <w:rFonts w:asciiTheme="minorHAnsi" w:eastAsia="Calibri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1D0A3B"/>
    <w:multiLevelType w:val="hybridMultilevel"/>
    <w:tmpl w:val="535C8B70"/>
    <w:lvl w:ilvl="0" w:tplc="EE54D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EA95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A493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5CC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445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AA05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5464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B021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3E5E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A11038C"/>
    <w:multiLevelType w:val="hybridMultilevel"/>
    <w:tmpl w:val="7DF4A22C"/>
    <w:lvl w:ilvl="0" w:tplc="1FCAC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0CBF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647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0A89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BE68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B630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AA01E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8AFB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3A5D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FB1943"/>
    <w:multiLevelType w:val="hybridMultilevel"/>
    <w:tmpl w:val="DE948684"/>
    <w:lvl w:ilvl="0" w:tplc="F3686B40">
      <w:start w:val="1"/>
      <w:numFmt w:val="decimal"/>
      <w:lvlText w:val="%1.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BE70469"/>
    <w:multiLevelType w:val="hybridMultilevel"/>
    <w:tmpl w:val="28CC9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585317"/>
    <w:multiLevelType w:val="hybridMultilevel"/>
    <w:tmpl w:val="B3FA05F6"/>
    <w:lvl w:ilvl="0" w:tplc="28106582">
      <w:start w:val="1"/>
      <w:numFmt w:val="decimal"/>
      <w:lvlText w:val="%1)"/>
      <w:lvlJc w:val="left"/>
      <w:pPr>
        <w:ind w:left="45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 w15:restartNumberingAfterBreak="0">
    <w:nsid w:val="652D312C"/>
    <w:multiLevelType w:val="hybridMultilevel"/>
    <w:tmpl w:val="63E00A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E0002"/>
    <w:multiLevelType w:val="hybridMultilevel"/>
    <w:tmpl w:val="E490F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26856"/>
    <w:multiLevelType w:val="hybridMultilevel"/>
    <w:tmpl w:val="589A86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EE1AC7"/>
    <w:multiLevelType w:val="hybridMultilevel"/>
    <w:tmpl w:val="FB6AA5E0"/>
    <w:lvl w:ilvl="0" w:tplc="31BC74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312A7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36CD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063B5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E4C8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8E91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C96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B892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7293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8"/>
  </w:num>
  <w:num w:numId="5">
    <w:abstractNumId w:val="16"/>
  </w:num>
  <w:num w:numId="6">
    <w:abstractNumId w:val="13"/>
  </w:num>
  <w:num w:numId="7">
    <w:abstractNumId w:val="17"/>
  </w:num>
  <w:num w:numId="8">
    <w:abstractNumId w:val="12"/>
  </w:num>
  <w:num w:numId="9">
    <w:abstractNumId w:val="15"/>
  </w:num>
  <w:num w:numId="10">
    <w:abstractNumId w:val="14"/>
  </w:num>
  <w:num w:numId="11">
    <w:abstractNumId w:val="4"/>
  </w:num>
  <w:num w:numId="12">
    <w:abstractNumId w:val="0"/>
  </w:num>
  <w:num w:numId="13">
    <w:abstractNumId w:val="18"/>
  </w:num>
  <w:num w:numId="14">
    <w:abstractNumId w:val="11"/>
  </w:num>
  <w:num w:numId="15">
    <w:abstractNumId w:val="3"/>
  </w:num>
  <w:num w:numId="16">
    <w:abstractNumId w:val="10"/>
  </w:num>
  <w:num w:numId="17">
    <w:abstractNumId w:val="6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4B"/>
    <w:rsid w:val="000021A5"/>
    <w:rsid w:val="00007896"/>
    <w:rsid w:val="00022A46"/>
    <w:rsid w:val="00046FEF"/>
    <w:rsid w:val="000512C9"/>
    <w:rsid w:val="00053BF5"/>
    <w:rsid w:val="0005730B"/>
    <w:rsid w:val="00067A34"/>
    <w:rsid w:val="00086194"/>
    <w:rsid w:val="00086530"/>
    <w:rsid w:val="000879C4"/>
    <w:rsid w:val="00091E3B"/>
    <w:rsid w:val="0009267A"/>
    <w:rsid w:val="000A2FD4"/>
    <w:rsid w:val="000B2BE9"/>
    <w:rsid w:val="000B34A3"/>
    <w:rsid w:val="000C0E40"/>
    <w:rsid w:val="000D30B0"/>
    <w:rsid w:val="000E3486"/>
    <w:rsid w:val="00102400"/>
    <w:rsid w:val="00121596"/>
    <w:rsid w:val="001456F7"/>
    <w:rsid w:val="00145FA4"/>
    <w:rsid w:val="00146449"/>
    <w:rsid w:val="00177D6D"/>
    <w:rsid w:val="0018793C"/>
    <w:rsid w:val="00187C6E"/>
    <w:rsid w:val="001E684E"/>
    <w:rsid w:val="001F1512"/>
    <w:rsid w:val="00201B62"/>
    <w:rsid w:val="00216463"/>
    <w:rsid w:val="00225ED0"/>
    <w:rsid w:val="00235639"/>
    <w:rsid w:val="00241C3C"/>
    <w:rsid w:val="002469CB"/>
    <w:rsid w:val="00253154"/>
    <w:rsid w:val="00261509"/>
    <w:rsid w:val="00267F2A"/>
    <w:rsid w:val="00270255"/>
    <w:rsid w:val="00270F0F"/>
    <w:rsid w:val="002731B2"/>
    <w:rsid w:val="00280130"/>
    <w:rsid w:val="00281490"/>
    <w:rsid w:val="002907ED"/>
    <w:rsid w:val="002A6157"/>
    <w:rsid w:val="002A7B77"/>
    <w:rsid w:val="002B045D"/>
    <w:rsid w:val="002B3498"/>
    <w:rsid w:val="002D170B"/>
    <w:rsid w:val="002D3DC3"/>
    <w:rsid w:val="002D42B5"/>
    <w:rsid w:val="002D47F4"/>
    <w:rsid w:val="002F0122"/>
    <w:rsid w:val="002F3EFE"/>
    <w:rsid w:val="002F459F"/>
    <w:rsid w:val="002F74EB"/>
    <w:rsid w:val="003009A4"/>
    <w:rsid w:val="003052DD"/>
    <w:rsid w:val="00331862"/>
    <w:rsid w:val="00336C8D"/>
    <w:rsid w:val="00347414"/>
    <w:rsid w:val="00351C5B"/>
    <w:rsid w:val="0036110C"/>
    <w:rsid w:val="0036378E"/>
    <w:rsid w:val="00367152"/>
    <w:rsid w:val="0038067D"/>
    <w:rsid w:val="003903AA"/>
    <w:rsid w:val="00395BBD"/>
    <w:rsid w:val="003A6677"/>
    <w:rsid w:val="003B2B63"/>
    <w:rsid w:val="003D39E4"/>
    <w:rsid w:val="003E0D70"/>
    <w:rsid w:val="003E5CF1"/>
    <w:rsid w:val="003E605F"/>
    <w:rsid w:val="003E7333"/>
    <w:rsid w:val="003E7382"/>
    <w:rsid w:val="0041235E"/>
    <w:rsid w:val="00414D9F"/>
    <w:rsid w:val="00422614"/>
    <w:rsid w:val="0045192F"/>
    <w:rsid w:val="00460932"/>
    <w:rsid w:val="00464BBB"/>
    <w:rsid w:val="0046762E"/>
    <w:rsid w:val="00470773"/>
    <w:rsid w:val="00473CA5"/>
    <w:rsid w:val="00495036"/>
    <w:rsid w:val="004B427D"/>
    <w:rsid w:val="004B4DAE"/>
    <w:rsid w:val="004C36B9"/>
    <w:rsid w:val="004C375F"/>
    <w:rsid w:val="004C4473"/>
    <w:rsid w:val="004D0C5B"/>
    <w:rsid w:val="004E0BA8"/>
    <w:rsid w:val="0050108C"/>
    <w:rsid w:val="00516485"/>
    <w:rsid w:val="00534AD9"/>
    <w:rsid w:val="005577E4"/>
    <w:rsid w:val="005663FE"/>
    <w:rsid w:val="005A20FA"/>
    <w:rsid w:val="005A334B"/>
    <w:rsid w:val="005B034D"/>
    <w:rsid w:val="005B4B77"/>
    <w:rsid w:val="005C2F4C"/>
    <w:rsid w:val="005C7013"/>
    <w:rsid w:val="005C729A"/>
    <w:rsid w:val="005E4A55"/>
    <w:rsid w:val="005E4BEA"/>
    <w:rsid w:val="005F7784"/>
    <w:rsid w:val="00605681"/>
    <w:rsid w:val="0061777A"/>
    <w:rsid w:val="00621BED"/>
    <w:rsid w:val="00641C37"/>
    <w:rsid w:val="00642FF7"/>
    <w:rsid w:val="0064364B"/>
    <w:rsid w:val="00645CFA"/>
    <w:rsid w:val="006461A3"/>
    <w:rsid w:val="00660740"/>
    <w:rsid w:val="00667D0B"/>
    <w:rsid w:val="00672184"/>
    <w:rsid w:val="006739C6"/>
    <w:rsid w:val="0067565B"/>
    <w:rsid w:val="00676A11"/>
    <w:rsid w:val="00676B36"/>
    <w:rsid w:val="006828CB"/>
    <w:rsid w:val="006831F8"/>
    <w:rsid w:val="006953DA"/>
    <w:rsid w:val="006B1E01"/>
    <w:rsid w:val="006E464B"/>
    <w:rsid w:val="006E46B8"/>
    <w:rsid w:val="006F044D"/>
    <w:rsid w:val="0071165F"/>
    <w:rsid w:val="00715968"/>
    <w:rsid w:val="0072030C"/>
    <w:rsid w:val="00736701"/>
    <w:rsid w:val="00743613"/>
    <w:rsid w:val="007454CD"/>
    <w:rsid w:val="00746A9F"/>
    <w:rsid w:val="00747522"/>
    <w:rsid w:val="00763779"/>
    <w:rsid w:val="00767417"/>
    <w:rsid w:val="00770741"/>
    <w:rsid w:val="00776D36"/>
    <w:rsid w:val="00777136"/>
    <w:rsid w:val="00780DD1"/>
    <w:rsid w:val="00782C36"/>
    <w:rsid w:val="00787DAD"/>
    <w:rsid w:val="007B70F3"/>
    <w:rsid w:val="007C62F1"/>
    <w:rsid w:val="007E1DC7"/>
    <w:rsid w:val="007E2C4A"/>
    <w:rsid w:val="007F1198"/>
    <w:rsid w:val="007F1231"/>
    <w:rsid w:val="007F19C2"/>
    <w:rsid w:val="00820BA1"/>
    <w:rsid w:val="00827352"/>
    <w:rsid w:val="00846498"/>
    <w:rsid w:val="0086171E"/>
    <w:rsid w:val="0086799D"/>
    <w:rsid w:val="00872D25"/>
    <w:rsid w:val="00874C98"/>
    <w:rsid w:val="00885EDA"/>
    <w:rsid w:val="008926E4"/>
    <w:rsid w:val="008A07C0"/>
    <w:rsid w:val="008C0C01"/>
    <w:rsid w:val="008C2DE5"/>
    <w:rsid w:val="008E148B"/>
    <w:rsid w:val="008E4FF9"/>
    <w:rsid w:val="008F3A63"/>
    <w:rsid w:val="008F3C61"/>
    <w:rsid w:val="008F5792"/>
    <w:rsid w:val="009204B6"/>
    <w:rsid w:val="0092595D"/>
    <w:rsid w:val="00927DA7"/>
    <w:rsid w:val="00934C00"/>
    <w:rsid w:val="009353A5"/>
    <w:rsid w:val="0094130E"/>
    <w:rsid w:val="00944726"/>
    <w:rsid w:val="00972828"/>
    <w:rsid w:val="00974CF2"/>
    <w:rsid w:val="00976AC2"/>
    <w:rsid w:val="009A4E3F"/>
    <w:rsid w:val="009A5FB9"/>
    <w:rsid w:val="009A7746"/>
    <w:rsid w:val="009B1801"/>
    <w:rsid w:val="009B2623"/>
    <w:rsid w:val="009B4073"/>
    <w:rsid w:val="009B725A"/>
    <w:rsid w:val="009C589C"/>
    <w:rsid w:val="009D1A5C"/>
    <w:rsid w:val="009D4175"/>
    <w:rsid w:val="009D79D3"/>
    <w:rsid w:val="009F36A7"/>
    <w:rsid w:val="009F5AEB"/>
    <w:rsid w:val="00A11DE8"/>
    <w:rsid w:val="00A126C5"/>
    <w:rsid w:val="00A21BE3"/>
    <w:rsid w:val="00A345C2"/>
    <w:rsid w:val="00A351A1"/>
    <w:rsid w:val="00A41BB6"/>
    <w:rsid w:val="00A4644C"/>
    <w:rsid w:val="00A5524C"/>
    <w:rsid w:val="00A6241D"/>
    <w:rsid w:val="00A858E9"/>
    <w:rsid w:val="00A90FF0"/>
    <w:rsid w:val="00A954DA"/>
    <w:rsid w:val="00A97776"/>
    <w:rsid w:val="00AA1F0E"/>
    <w:rsid w:val="00AA23E2"/>
    <w:rsid w:val="00AA245A"/>
    <w:rsid w:val="00AC1C1A"/>
    <w:rsid w:val="00AD73B8"/>
    <w:rsid w:val="00AE0DBC"/>
    <w:rsid w:val="00AE4174"/>
    <w:rsid w:val="00AF1098"/>
    <w:rsid w:val="00AF63AA"/>
    <w:rsid w:val="00B10EF7"/>
    <w:rsid w:val="00B237B0"/>
    <w:rsid w:val="00B37F38"/>
    <w:rsid w:val="00B4253A"/>
    <w:rsid w:val="00B45F09"/>
    <w:rsid w:val="00B55519"/>
    <w:rsid w:val="00B56438"/>
    <w:rsid w:val="00B60318"/>
    <w:rsid w:val="00B767FF"/>
    <w:rsid w:val="00B83861"/>
    <w:rsid w:val="00B85A13"/>
    <w:rsid w:val="00B85A56"/>
    <w:rsid w:val="00B9419D"/>
    <w:rsid w:val="00B97080"/>
    <w:rsid w:val="00BC1B4C"/>
    <w:rsid w:val="00BC6048"/>
    <w:rsid w:val="00BE297A"/>
    <w:rsid w:val="00BE7A85"/>
    <w:rsid w:val="00BF4A3D"/>
    <w:rsid w:val="00C120DC"/>
    <w:rsid w:val="00C20CA0"/>
    <w:rsid w:val="00C240ED"/>
    <w:rsid w:val="00C24D7B"/>
    <w:rsid w:val="00C359D3"/>
    <w:rsid w:val="00C45481"/>
    <w:rsid w:val="00C45B59"/>
    <w:rsid w:val="00C462AF"/>
    <w:rsid w:val="00C535D6"/>
    <w:rsid w:val="00C560E2"/>
    <w:rsid w:val="00C75A68"/>
    <w:rsid w:val="00C92936"/>
    <w:rsid w:val="00CB7089"/>
    <w:rsid w:val="00CC5937"/>
    <w:rsid w:val="00CC64B6"/>
    <w:rsid w:val="00CD713C"/>
    <w:rsid w:val="00CF4FE3"/>
    <w:rsid w:val="00D034CB"/>
    <w:rsid w:val="00D357FA"/>
    <w:rsid w:val="00D36A01"/>
    <w:rsid w:val="00D43D8D"/>
    <w:rsid w:val="00D46E44"/>
    <w:rsid w:val="00D713C9"/>
    <w:rsid w:val="00D7188C"/>
    <w:rsid w:val="00D76B5A"/>
    <w:rsid w:val="00D83BB2"/>
    <w:rsid w:val="00D931AE"/>
    <w:rsid w:val="00D962C7"/>
    <w:rsid w:val="00D970C0"/>
    <w:rsid w:val="00D979C0"/>
    <w:rsid w:val="00DB465F"/>
    <w:rsid w:val="00DC28CF"/>
    <w:rsid w:val="00DD392C"/>
    <w:rsid w:val="00DD570D"/>
    <w:rsid w:val="00DE5025"/>
    <w:rsid w:val="00DF121A"/>
    <w:rsid w:val="00DF381D"/>
    <w:rsid w:val="00DF5237"/>
    <w:rsid w:val="00DF5DE8"/>
    <w:rsid w:val="00E006E0"/>
    <w:rsid w:val="00E0401B"/>
    <w:rsid w:val="00E10AD8"/>
    <w:rsid w:val="00E26B62"/>
    <w:rsid w:val="00E317C8"/>
    <w:rsid w:val="00E42836"/>
    <w:rsid w:val="00E437C0"/>
    <w:rsid w:val="00E517F5"/>
    <w:rsid w:val="00E52A63"/>
    <w:rsid w:val="00E5560C"/>
    <w:rsid w:val="00E57ED1"/>
    <w:rsid w:val="00E65761"/>
    <w:rsid w:val="00E674C7"/>
    <w:rsid w:val="00E74217"/>
    <w:rsid w:val="00E8287F"/>
    <w:rsid w:val="00E931A7"/>
    <w:rsid w:val="00E945C4"/>
    <w:rsid w:val="00EA3D88"/>
    <w:rsid w:val="00EB3657"/>
    <w:rsid w:val="00EC4A20"/>
    <w:rsid w:val="00ED24D4"/>
    <w:rsid w:val="00EF1093"/>
    <w:rsid w:val="00EF3F4D"/>
    <w:rsid w:val="00F126D1"/>
    <w:rsid w:val="00F13CAF"/>
    <w:rsid w:val="00F4725B"/>
    <w:rsid w:val="00F47C80"/>
    <w:rsid w:val="00F5685C"/>
    <w:rsid w:val="00F61018"/>
    <w:rsid w:val="00F85C24"/>
    <w:rsid w:val="00F9626E"/>
    <w:rsid w:val="00FA5EBC"/>
    <w:rsid w:val="00FA6CC2"/>
    <w:rsid w:val="00FB1C68"/>
    <w:rsid w:val="00FB4187"/>
    <w:rsid w:val="00FC26E4"/>
    <w:rsid w:val="00FC4F6F"/>
    <w:rsid w:val="00FC5A3A"/>
    <w:rsid w:val="00FE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B222843"/>
  <w15:docId w15:val="{652EDE2E-6888-4404-9563-B94F57EF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64B"/>
    <w:rPr>
      <w:rFonts w:ascii="Times" w:eastAsia="Times" w:hAnsi="Times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E464B"/>
    <w:pPr>
      <w:keepNext/>
      <w:outlineLvl w:val="2"/>
    </w:pPr>
    <w:rPr>
      <w:rFonts w:ascii="Palatino" w:hAnsi="Palatino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464B"/>
    <w:rPr>
      <w:rFonts w:ascii="Palatino" w:eastAsia="Times" w:hAnsi="Palatino" w:cs="Times New Roman"/>
      <w:b/>
      <w:color w:val="000000"/>
      <w:sz w:val="36"/>
      <w:szCs w:val="20"/>
    </w:rPr>
  </w:style>
  <w:style w:type="paragraph" w:styleId="Header">
    <w:name w:val="header"/>
    <w:basedOn w:val="Normal"/>
    <w:link w:val="HeaderChar"/>
    <w:uiPriority w:val="99"/>
    <w:unhideWhenUsed/>
    <w:rsid w:val="005010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08C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010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08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FC5A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rsid w:val="009F36A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879C4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customStyle="1" w:styleId="apple-converted-space">
    <w:name w:val="apple-converted-space"/>
    <w:basedOn w:val="DefaultParagraphFont"/>
    <w:rsid w:val="000879C4"/>
  </w:style>
  <w:style w:type="paragraph" w:styleId="BalloonText">
    <w:name w:val="Balloon Text"/>
    <w:basedOn w:val="Normal"/>
    <w:link w:val="BalloonTextChar"/>
    <w:uiPriority w:val="99"/>
    <w:semiHidden/>
    <w:unhideWhenUsed/>
    <w:rsid w:val="001024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00"/>
    <w:rPr>
      <w:rFonts w:ascii="Tahoma" w:eastAsia="Times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972828"/>
    <w:pPr>
      <w:tabs>
        <w:tab w:val="right" w:leader="dot" w:pos="10070"/>
      </w:tabs>
      <w:spacing w:after="100"/>
      <w:ind w:left="720"/>
    </w:pPr>
    <w:rPr>
      <w:rFonts w:asciiTheme="minorHAnsi" w:eastAsiaTheme="minorHAnsi" w:hAnsiTheme="minorHAnsi" w:cstheme="minorBid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972828"/>
    <w:pPr>
      <w:spacing w:after="100"/>
      <w:ind w:left="220"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609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09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0932"/>
    <w:rPr>
      <w:rFonts w:ascii="Times" w:eastAsia="Times" w:hAnsi="Times" w:cs="Times New Roman"/>
      <w:sz w:val="20"/>
      <w:szCs w:val="20"/>
    </w:rPr>
  </w:style>
  <w:style w:type="paragraph" w:customStyle="1" w:styleId="Default">
    <w:name w:val="Default"/>
    <w:rsid w:val="0047077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A334B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85E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410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093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263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328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13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50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4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283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4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77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02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2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61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0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97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5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6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200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0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31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8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629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4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5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7491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7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19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83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nabci-us.org/bird-conservation-community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abci-us.org/resourc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nabci-us.org/wp-content/uploads/2016/12/Vision-Statemen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abci-us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abci-us.org/how-we-work/" TargetMode="External"/><Relationship Id="rId10" Type="http://schemas.openxmlformats.org/officeDocument/2006/relationships/hyperlink" Target="http://nabci-us.org/how-we-work/state-of-the-bi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bci-us.org/committee/integrated-bird-conservation/" TargetMode="External"/><Relationship Id="rId14" Type="http://schemas.openxmlformats.org/officeDocument/2006/relationships/hyperlink" Target="http://nabci-us.org/bird-conservation-community/bird-partnership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555C-E7E2-4010-858A-8A1EF388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Scarl</dc:creator>
  <cp:lastModifiedBy>Judith Scarl</cp:lastModifiedBy>
  <cp:revision>13</cp:revision>
  <cp:lastPrinted>2015-08-17T13:44:00Z</cp:lastPrinted>
  <dcterms:created xsi:type="dcterms:W3CDTF">2017-02-23T16:46:00Z</dcterms:created>
  <dcterms:modified xsi:type="dcterms:W3CDTF">2017-02-23T20:52:00Z</dcterms:modified>
</cp:coreProperties>
</file>